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3860A" w14:textId="5E63CA6D" w:rsidR="00CF5B70" w:rsidRPr="0064259A" w:rsidRDefault="0034562A" w:rsidP="00CF5B70">
      <w:pPr>
        <w:rPr>
          <w:rFonts w:ascii="Arial" w:hAnsi="Arial" w:cs="Arial"/>
          <w:b/>
          <w:szCs w:val="16"/>
        </w:rPr>
      </w:pPr>
      <w:r>
        <w:rPr>
          <w:rFonts w:ascii="Arial" w:hAnsi="Arial" w:cs="Arial"/>
          <w:b/>
          <w:sz w:val="28"/>
          <w:szCs w:val="16"/>
        </w:rPr>
        <w:t xml:space="preserve">Anlage </w:t>
      </w:r>
      <w:r w:rsidR="00160178" w:rsidRPr="00160178">
        <w:rPr>
          <w:rFonts w:ascii="Arial" w:hAnsi="Arial" w:cs="Arial"/>
          <w:b/>
          <w:sz w:val="28"/>
          <w:szCs w:val="16"/>
        </w:rPr>
        <w:t>7b</w:t>
      </w:r>
      <w:r>
        <w:rPr>
          <w:rFonts w:ascii="Arial" w:hAnsi="Arial" w:cs="Arial"/>
          <w:b/>
          <w:sz w:val="28"/>
          <w:szCs w:val="16"/>
        </w:rPr>
        <w:t xml:space="preserve">: </w:t>
      </w:r>
      <w:r w:rsidR="00CF5B70" w:rsidRPr="0064259A">
        <w:rPr>
          <w:rFonts w:ascii="Arial" w:hAnsi="Arial" w:cs="Arial"/>
          <w:b/>
          <w:sz w:val="28"/>
          <w:szCs w:val="16"/>
        </w:rPr>
        <w:t>§ 13 Telemediengesetz</w:t>
      </w:r>
      <w:bookmarkStart w:id="0" w:name="_GoBack"/>
      <w:bookmarkEnd w:id="0"/>
    </w:p>
    <w:p w14:paraId="6309E30E" w14:textId="77777777" w:rsidR="00CF5B70" w:rsidRPr="0034562A" w:rsidRDefault="00CF5B70" w:rsidP="00CF5B70">
      <w:pPr>
        <w:rPr>
          <w:rFonts w:ascii="Arial" w:hAnsi="Arial" w:cs="Arial"/>
          <w:b/>
          <w:szCs w:val="16"/>
        </w:rPr>
      </w:pPr>
      <w:r w:rsidRPr="0034562A">
        <w:rPr>
          <w:rFonts w:ascii="Arial" w:hAnsi="Arial" w:cs="Arial"/>
          <w:b/>
          <w:szCs w:val="16"/>
        </w:rPr>
        <w:t>Pflichten des Diensteanbieters</w:t>
      </w:r>
    </w:p>
    <w:p w14:paraId="0D587D7C" w14:textId="7A6F9047" w:rsidR="00CF5B70" w:rsidRPr="007C5469" w:rsidRDefault="00CF5B70" w:rsidP="00CF5B70">
      <w:pPr>
        <w:rPr>
          <w:rFonts w:ascii="Arial" w:hAnsi="Arial" w:cs="Arial"/>
          <w:szCs w:val="16"/>
        </w:rPr>
      </w:pPr>
      <w:r w:rsidRPr="007C5469">
        <w:rPr>
          <w:rFonts w:ascii="Arial" w:hAnsi="Arial" w:cs="Arial"/>
          <w:szCs w:val="16"/>
        </w:rPr>
        <w:t>(1) Der Diensteanbieter hat den Nutzer zu Beginn des Nutzungsvorgangs über Art, Umfang und Zwecke der Erhebung und Verwendung personenbezogener Daten sowie über die Verarbeitung seiner Daten in Staaten außerhalb des Anwendungsbereichs der Richtlinie 95/46/EG des Europäischen Parlaments und des Rates vom 24. Oktober 1995 zum Schutz natürlicher Personen bei der Verarbeitung personenbezogener Daten und zum freien Datenverkehr (</w:t>
      </w:r>
      <w:proofErr w:type="spellStart"/>
      <w:r w:rsidRPr="007C5469">
        <w:rPr>
          <w:rFonts w:ascii="Arial" w:hAnsi="Arial" w:cs="Arial"/>
          <w:szCs w:val="16"/>
        </w:rPr>
        <w:t>ABl.</w:t>
      </w:r>
      <w:proofErr w:type="spellEnd"/>
      <w:r w:rsidRPr="007C5469">
        <w:rPr>
          <w:rFonts w:ascii="Arial" w:hAnsi="Arial" w:cs="Arial"/>
          <w:szCs w:val="16"/>
        </w:rPr>
        <w:t xml:space="preserve"> EG Nr. L 281 S. 31) in allgemein verständlicher Form zu unterrichten, sofern eine solche Unterrichtung nicht bereits erfolgt ist. Bei einem automatisierten Verfahren, das eine spätere Identifizierung des Nutzers ermöglicht und eine Erhebung oder Verwendung personenbezogener Daten vorbereitet, ist der Nutzer zu Beginn dieses Verfahrens zu unterrichten. Der Inhalt der Unterrichtung muss für den Nutzer jederzeit abrufbar sein.</w:t>
      </w:r>
    </w:p>
    <w:p w14:paraId="16D2B905" w14:textId="77777777" w:rsidR="00CF5B70" w:rsidRPr="007C5469" w:rsidRDefault="00CF5B70" w:rsidP="00CF5B70">
      <w:pPr>
        <w:rPr>
          <w:rFonts w:ascii="Arial" w:hAnsi="Arial" w:cs="Arial"/>
          <w:szCs w:val="16"/>
        </w:rPr>
      </w:pPr>
      <w:r w:rsidRPr="007C5469">
        <w:rPr>
          <w:rFonts w:ascii="Arial" w:hAnsi="Arial" w:cs="Arial"/>
          <w:szCs w:val="16"/>
        </w:rPr>
        <w:t>(2) Die Einwilligung kann elektronisch erklärt werden, wenn der Diensteanbieter sicherstellt, dass</w:t>
      </w:r>
    </w:p>
    <w:p w14:paraId="72CD3A26" w14:textId="77777777" w:rsidR="00CF5B70" w:rsidRPr="007C5469" w:rsidRDefault="00CF5B70" w:rsidP="00CF5B70">
      <w:pPr>
        <w:rPr>
          <w:rFonts w:ascii="Arial" w:hAnsi="Arial" w:cs="Arial"/>
          <w:szCs w:val="16"/>
        </w:rPr>
      </w:pPr>
      <w:r w:rsidRPr="007C5469">
        <w:rPr>
          <w:rFonts w:ascii="Arial" w:hAnsi="Arial" w:cs="Arial"/>
          <w:szCs w:val="16"/>
        </w:rPr>
        <w:t>1.</w:t>
      </w:r>
      <w:r w:rsidRPr="007C5469">
        <w:rPr>
          <w:rFonts w:ascii="Arial" w:hAnsi="Arial" w:cs="Arial"/>
          <w:szCs w:val="16"/>
        </w:rPr>
        <w:tab/>
        <w:t>der Nutzer seine Einwilligung bewusst und eindeutig erteilt hat,</w:t>
      </w:r>
    </w:p>
    <w:p w14:paraId="463CB77E" w14:textId="77777777" w:rsidR="00CF5B70" w:rsidRPr="007C5469" w:rsidRDefault="00CF5B70" w:rsidP="00CF5B70">
      <w:pPr>
        <w:rPr>
          <w:rFonts w:ascii="Arial" w:hAnsi="Arial" w:cs="Arial"/>
          <w:szCs w:val="16"/>
        </w:rPr>
      </w:pPr>
      <w:r w:rsidRPr="007C5469">
        <w:rPr>
          <w:rFonts w:ascii="Arial" w:hAnsi="Arial" w:cs="Arial"/>
          <w:szCs w:val="16"/>
        </w:rPr>
        <w:t>2.</w:t>
      </w:r>
      <w:r w:rsidRPr="007C5469">
        <w:rPr>
          <w:rFonts w:ascii="Arial" w:hAnsi="Arial" w:cs="Arial"/>
          <w:szCs w:val="16"/>
        </w:rPr>
        <w:tab/>
        <w:t>die Einwilligung protokolliert wird,</w:t>
      </w:r>
    </w:p>
    <w:p w14:paraId="225847FF" w14:textId="77777777" w:rsidR="00CF5B70" w:rsidRPr="007C5469" w:rsidRDefault="00CF5B70" w:rsidP="00CF5B70">
      <w:pPr>
        <w:rPr>
          <w:rFonts w:ascii="Arial" w:hAnsi="Arial" w:cs="Arial"/>
          <w:szCs w:val="16"/>
        </w:rPr>
      </w:pPr>
      <w:r w:rsidRPr="007C5469">
        <w:rPr>
          <w:rFonts w:ascii="Arial" w:hAnsi="Arial" w:cs="Arial"/>
          <w:szCs w:val="16"/>
        </w:rPr>
        <w:t>3.</w:t>
      </w:r>
      <w:r w:rsidRPr="007C5469">
        <w:rPr>
          <w:rFonts w:ascii="Arial" w:hAnsi="Arial" w:cs="Arial"/>
          <w:szCs w:val="16"/>
        </w:rPr>
        <w:tab/>
        <w:t>der Nutzer den Inhalt der Einwilligung jederzeit abrufen kann und</w:t>
      </w:r>
    </w:p>
    <w:p w14:paraId="2FCED8B4" w14:textId="77777777" w:rsidR="00CF5B70" w:rsidRPr="007C5469" w:rsidRDefault="00CF5B70" w:rsidP="00CF5B70">
      <w:pPr>
        <w:rPr>
          <w:rFonts w:ascii="Arial" w:hAnsi="Arial" w:cs="Arial"/>
          <w:szCs w:val="16"/>
        </w:rPr>
      </w:pPr>
      <w:r w:rsidRPr="007C5469">
        <w:rPr>
          <w:rFonts w:ascii="Arial" w:hAnsi="Arial" w:cs="Arial"/>
          <w:szCs w:val="16"/>
        </w:rPr>
        <w:t>4.</w:t>
      </w:r>
      <w:r w:rsidRPr="007C5469">
        <w:rPr>
          <w:rFonts w:ascii="Arial" w:hAnsi="Arial" w:cs="Arial"/>
          <w:szCs w:val="16"/>
        </w:rPr>
        <w:tab/>
        <w:t>der Nutzer die Einwilligung jederzeit mit Wirkung für die Zukunft widerrufen kann.</w:t>
      </w:r>
    </w:p>
    <w:p w14:paraId="2D5C4DC7" w14:textId="2580A5D5" w:rsidR="00CF5B70" w:rsidRPr="007C5469" w:rsidRDefault="00CF5B70" w:rsidP="00CF5B70">
      <w:pPr>
        <w:rPr>
          <w:rFonts w:ascii="Arial" w:hAnsi="Arial" w:cs="Arial"/>
          <w:szCs w:val="16"/>
        </w:rPr>
      </w:pPr>
      <w:r w:rsidRPr="007C5469">
        <w:rPr>
          <w:rFonts w:ascii="Arial" w:hAnsi="Arial" w:cs="Arial"/>
          <w:szCs w:val="16"/>
        </w:rPr>
        <w:t>(3) Der Diensteanbieter hat den Nutzer vor Erklärung der Einwilligung auf das Recht nach Absatz 2 Nr. 4 hinzuweisen. Absatz 1 Satz 3 gilt entsprechend.</w:t>
      </w:r>
    </w:p>
    <w:p w14:paraId="4920A3B5" w14:textId="5366B518" w:rsidR="00CF5B70" w:rsidRPr="007C5469" w:rsidRDefault="00CF5B70" w:rsidP="00CF5B70">
      <w:pPr>
        <w:rPr>
          <w:rFonts w:ascii="Arial" w:hAnsi="Arial" w:cs="Arial"/>
          <w:szCs w:val="16"/>
        </w:rPr>
      </w:pPr>
      <w:r w:rsidRPr="007C5469">
        <w:rPr>
          <w:rFonts w:ascii="Arial" w:hAnsi="Arial" w:cs="Arial"/>
          <w:szCs w:val="16"/>
        </w:rPr>
        <w:t>(4) Der Diensteanbieter hat durch technische und organisatorische Vorkehrungen sicherzustellen, dass</w:t>
      </w:r>
    </w:p>
    <w:p w14:paraId="098472A6" w14:textId="77777777" w:rsidR="00CF5B70" w:rsidRPr="007C5469" w:rsidRDefault="00CF5B70" w:rsidP="00CF5B70">
      <w:pPr>
        <w:rPr>
          <w:rFonts w:ascii="Arial" w:hAnsi="Arial" w:cs="Arial"/>
          <w:szCs w:val="16"/>
        </w:rPr>
      </w:pPr>
      <w:r w:rsidRPr="007C5469">
        <w:rPr>
          <w:rFonts w:ascii="Arial" w:hAnsi="Arial" w:cs="Arial"/>
          <w:szCs w:val="16"/>
        </w:rPr>
        <w:t>1.</w:t>
      </w:r>
      <w:r w:rsidRPr="007C5469">
        <w:rPr>
          <w:rFonts w:ascii="Arial" w:hAnsi="Arial" w:cs="Arial"/>
          <w:szCs w:val="16"/>
        </w:rPr>
        <w:tab/>
        <w:t>der Nutzer die Nutzung des Dienstes jederzeit beenden kann,</w:t>
      </w:r>
    </w:p>
    <w:p w14:paraId="392F116A" w14:textId="5AE2C1C6" w:rsidR="00CF5B70" w:rsidRPr="007C5469" w:rsidRDefault="00CF5B70" w:rsidP="00AA702E">
      <w:pPr>
        <w:ind w:left="705" w:hanging="705"/>
        <w:rPr>
          <w:rFonts w:ascii="Arial" w:hAnsi="Arial" w:cs="Arial"/>
          <w:szCs w:val="16"/>
        </w:rPr>
      </w:pPr>
      <w:r w:rsidRPr="007C5469">
        <w:rPr>
          <w:rFonts w:ascii="Arial" w:hAnsi="Arial" w:cs="Arial"/>
          <w:szCs w:val="16"/>
        </w:rPr>
        <w:t>2.</w:t>
      </w:r>
      <w:r w:rsidRPr="007C5469">
        <w:rPr>
          <w:rFonts w:ascii="Arial" w:hAnsi="Arial" w:cs="Arial"/>
          <w:szCs w:val="16"/>
        </w:rPr>
        <w:tab/>
        <w:t xml:space="preserve">die anfallenden personenbezogenen Daten über den Ablauf des Zugriffs oder der sonstigen Nutzung unmittelbar nach deren </w:t>
      </w:r>
      <w:r w:rsidR="00AA702E" w:rsidRPr="007C5469">
        <w:rPr>
          <w:rFonts w:ascii="Arial" w:hAnsi="Arial" w:cs="Arial"/>
          <w:szCs w:val="16"/>
        </w:rPr>
        <w:br/>
      </w:r>
      <w:r w:rsidRPr="007C5469">
        <w:rPr>
          <w:rFonts w:ascii="Arial" w:hAnsi="Arial" w:cs="Arial"/>
          <w:szCs w:val="16"/>
        </w:rPr>
        <w:t>Beendigung gelöscht oder in den Fällen des Satzes 2 gesperrt werden,</w:t>
      </w:r>
    </w:p>
    <w:p w14:paraId="5DBBD171" w14:textId="54BFF462" w:rsidR="00CF5B70" w:rsidRPr="007C5469" w:rsidRDefault="00CF5B70" w:rsidP="00CF5B70">
      <w:pPr>
        <w:rPr>
          <w:rFonts w:ascii="Arial" w:hAnsi="Arial" w:cs="Arial"/>
          <w:szCs w:val="16"/>
        </w:rPr>
      </w:pPr>
      <w:r w:rsidRPr="007C5469">
        <w:rPr>
          <w:rFonts w:ascii="Arial" w:hAnsi="Arial" w:cs="Arial"/>
          <w:szCs w:val="16"/>
        </w:rPr>
        <w:t>3.</w:t>
      </w:r>
      <w:r w:rsidRPr="007C5469">
        <w:rPr>
          <w:rFonts w:ascii="Arial" w:hAnsi="Arial" w:cs="Arial"/>
          <w:szCs w:val="16"/>
        </w:rPr>
        <w:tab/>
        <w:t xml:space="preserve">der Nutzer Telemedien gegen Kenntnisnahme Dritter geschützt in Anspruch nehmen </w:t>
      </w:r>
      <w:r w:rsidR="007C5469">
        <w:rPr>
          <w:rFonts w:ascii="Arial" w:hAnsi="Arial" w:cs="Arial"/>
          <w:szCs w:val="16"/>
        </w:rPr>
        <w:tab/>
      </w:r>
      <w:r w:rsidRPr="007C5469">
        <w:rPr>
          <w:rFonts w:ascii="Arial" w:hAnsi="Arial" w:cs="Arial"/>
          <w:szCs w:val="16"/>
        </w:rPr>
        <w:t>kann,</w:t>
      </w:r>
    </w:p>
    <w:p w14:paraId="095ED643" w14:textId="77777777" w:rsidR="00CF5B70" w:rsidRPr="007C5469" w:rsidRDefault="00CF5B70" w:rsidP="00AA702E">
      <w:pPr>
        <w:ind w:left="705" w:hanging="705"/>
        <w:rPr>
          <w:rFonts w:ascii="Arial" w:hAnsi="Arial" w:cs="Arial"/>
          <w:szCs w:val="16"/>
        </w:rPr>
      </w:pPr>
      <w:r w:rsidRPr="007C5469">
        <w:rPr>
          <w:rFonts w:ascii="Arial" w:hAnsi="Arial" w:cs="Arial"/>
          <w:szCs w:val="16"/>
        </w:rPr>
        <w:t>4.</w:t>
      </w:r>
      <w:r w:rsidRPr="007C5469">
        <w:rPr>
          <w:rFonts w:ascii="Arial" w:hAnsi="Arial" w:cs="Arial"/>
          <w:szCs w:val="16"/>
        </w:rPr>
        <w:tab/>
        <w:t>die personenbezogenen Daten über die Nutzung verschiedener Telemedien durch denselben Nutzer getrennt verwendet werden können,</w:t>
      </w:r>
    </w:p>
    <w:p w14:paraId="164E85A2" w14:textId="630F3CF3" w:rsidR="00CF5B70" w:rsidRPr="007C5469" w:rsidRDefault="00CF5B70" w:rsidP="00CF5B70">
      <w:pPr>
        <w:rPr>
          <w:rFonts w:ascii="Arial" w:hAnsi="Arial" w:cs="Arial"/>
          <w:szCs w:val="16"/>
        </w:rPr>
      </w:pPr>
      <w:r w:rsidRPr="007C5469">
        <w:rPr>
          <w:rFonts w:ascii="Arial" w:hAnsi="Arial" w:cs="Arial"/>
          <w:szCs w:val="16"/>
        </w:rPr>
        <w:t>5.</w:t>
      </w:r>
      <w:r w:rsidRPr="007C5469">
        <w:rPr>
          <w:rFonts w:ascii="Arial" w:hAnsi="Arial" w:cs="Arial"/>
          <w:szCs w:val="16"/>
        </w:rPr>
        <w:tab/>
        <w:t>Daten nach § 15 Abs. 2 nur für Abrech</w:t>
      </w:r>
      <w:r w:rsidR="00891826" w:rsidRPr="007C5469">
        <w:rPr>
          <w:rFonts w:ascii="Arial" w:hAnsi="Arial" w:cs="Arial"/>
          <w:szCs w:val="16"/>
        </w:rPr>
        <w:t>n</w:t>
      </w:r>
      <w:r w:rsidRPr="007C5469">
        <w:rPr>
          <w:rFonts w:ascii="Arial" w:hAnsi="Arial" w:cs="Arial"/>
          <w:szCs w:val="16"/>
        </w:rPr>
        <w:t xml:space="preserve">ungszwecke zusammengeführt werden </w:t>
      </w:r>
      <w:r w:rsidR="007C5469">
        <w:rPr>
          <w:rFonts w:ascii="Arial" w:hAnsi="Arial" w:cs="Arial"/>
          <w:szCs w:val="16"/>
        </w:rPr>
        <w:tab/>
      </w:r>
      <w:r w:rsidRPr="007C5469">
        <w:rPr>
          <w:rFonts w:ascii="Arial" w:hAnsi="Arial" w:cs="Arial"/>
          <w:szCs w:val="16"/>
        </w:rPr>
        <w:t>können und</w:t>
      </w:r>
    </w:p>
    <w:p w14:paraId="5D6961A8" w14:textId="77777777" w:rsidR="00CF5B70" w:rsidRPr="007C5469" w:rsidRDefault="00CF5B70" w:rsidP="00AA702E">
      <w:pPr>
        <w:ind w:left="705" w:hanging="705"/>
        <w:rPr>
          <w:rFonts w:ascii="Arial" w:hAnsi="Arial" w:cs="Arial"/>
          <w:szCs w:val="16"/>
        </w:rPr>
      </w:pPr>
      <w:r w:rsidRPr="007C5469">
        <w:rPr>
          <w:rFonts w:ascii="Arial" w:hAnsi="Arial" w:cs="Arial"/>
          <w:szCs w:val="16"/>
        </w:rPr>
        <w:t>6.</w:t>
      </w:r>
      <w:r w:rsidRPr="007C5469">
        <w:rPr>
          <w:rFonts w:ascii="Arial" w:hAnsi="Arial" w:cs="Arial"/>
          <w:szCs w:val="16"/>
        </w:rPr>
        <w:tab/>
        <w:t>Nutzungsprofile nach § 15 Abs. 3 nicht mit Angaben zur Identifikation des Trägers des Pseudonyms zusammengeführt werden können.</w:t>
      </w:r>
    </w:p>
    <w:p w14:paraId="2ED440A6" w14:textId="3BA8C27C" w:rsidR="00CF5B70" w:rsidRPr="007C5469" w:rsidRDefault="00CF5B70" w:rsidP="00CF5B70">
      <w:pPr>
        <w:rPr>
          <w:rFonts w:ascii="Arial" w:hAnsi="Arial" w:cs="Arial"/>
          <w:szCs w:val="16"/>
        </w:rPr>
      </w:pPr>
      <w:r w:rsidRPr="007C5469">
        <w:rPr>
          <w:rFonts w:ascii="Arial" w:hAnsi="Arial" w:cs="Arial"/>
          <w:szCs w:val="16"/>
        </w:rPr>
        <w:t>An die Stelle der Löschung nach Satz 1 Nr. 2 tritt eine Sperrung, soweit einer Löschung gesetzliche, satzungsmäßige oder vertragliche Aufbewahrungsfristen entgegenstehen.</w:t>
      </w:r>
    </w:p>
    <w:p w14:paraId="1FC0F93F" w14:textId="0F4D61BD" w:rsidR="0034562A" w:rsidRDefault="00CF5B70" w:rsidP="00CF5B70">
      <w:pPr>
        <w:rPr>
          <w:rFonts w:ascii="Arial" w:hAnsi="Arial" w:cs="Arial"/>
          <w:szCs w:val="16"/>
        </w:rPr>
      </w:pPr>
      <w:r w:rsidRPr="007C5469">
        <w:rPr>
          <w:rFonts w:ascii="Arial" w:hAnsi="Arial" w:cs="Arial"/>
          <w:szCs w:val="16"/>
        </w:rPr>
        <w:t>(5) Die Weitervermittlung zu einem anderen Diensteanbieter ist dem Nutzer anzuzeigen.</w:t>
      </w:r>
    </w:p>
    <w:p w14:paraId="26AB4C47" w14:textId="77777777" w:rsidR="0034562A" w:rsidRDefault="0034562A">
      <w:pPr>
        <w:rPr>
          <w:rFonts w:ascii="Arial" w:hAnsi="Arial" w:cs="Arial"/>
          <w:szCs w:val="16"/>
        </w:rPr>
      </w:pPr>
      <w:r>
        <w:rPr>
          <w:rFonts w:ascii="Arial" w:hAnsi="Arial" w:cs="Arial"/>
          <w:szCs w:val="16"/>
        </w:rPr>
        <w:br w:type="page"/>
      </w:r>
    </w:p>
    <w:p w14:paraId="4926B0AA" w14:textId="4A12FBE2" w:rsidR="00CF5B70" w:rsidRPr="007C5469" w:rsidRDefault="00CF5B70" w:rsidP="00CF5B70">
      <w:pPr>
        <w:rPr>
          <w:rFonts w:ascii="Arial" w:hAnsi="Arial" w:cs="Arial"/>
          <w:szCs w:val="16"/>
        </w:rPr>
      </w:pPr>
      <w:r w:rsidRPr="007C5469">
        <w:rPr>
          <w:rFonts w:ascii="Arial" w:hAnsi="Arial" w:cs="Arial"/>
          <w:szCs w:val="16"/>
        </w:rPr>
        <w:lastRenderedPageBreak/>
        <w:t xml:space="preserve">(6) Der </w:t>
      </w:r>
      <w:proofErr w:type="spellStart"/>
      <w:r w:rsidRPr="007C5469">
        <w:rPr>
          <w:rFonts w:ascii="Arial" w:hAnsi="Arial" w:cs="Arial"/>
          <w:szCs w:val="16"/>
        </w:rPr>
        <w:t>Diensteanbieter</w:t>
      </w:r>
      <w:proofErr w:type="spellEnd"/>
      <w:r w:rsidRPr="007C5469">
        <w:rPr>
          <w:rFonts w:ascii="Arial" w:hAnsi="Arial" w:cs="Arial"/>
          <w:szCs w:val="16"/>
        </w:rPr>
        <w:t xml:space="preserve"> hat die Nutzung von Telemedien und ihre Bezahlung anonym oder unter Pseudonym zu ermöglichen, soweit dies technisch möglich und zumutbar ist. Der Nutzer ist über diese Möglichkeit zu informieren.</w:t>
      </w:r>
    </w:p>
    <w:p w14:paraId="6C544E3C" w14:textId="5555DB40" w:rsidR="00CF5B70" w:rsidRPr="007C5469" w:rsidRDefault="00CF5B70" w:rsidP="00CF5B70">
      <w:pPr>
        <w:rPr>
          <w:rFonts w:ascii="Arial" w:hAnsi="Arial" w:cs="Arial"/>
          <w:szCs w:val="16"/>
        </w:rPr>
      </w:pPr>
      <w:r w:rsidRPr="007C5469">
        <w:rPr>
          <w:rFonts w:ascii="Arial" w:hAnsi="Arial" w:cs="Arial"/>
          <w:szCs w:val="16"/>
        </w:rPr>
        <w:t>(7) Diensteanbieter haben, soweit dies technisch möglich und wirtschaftlich zumutbar ist, im Rahmen ihrer jeweiligen Verantwortlichkeit für geschäftsmäßig angebotene Telemedien durch technische und organisatorische Vorkehrungen sicherzustellen, dass</w:t>
      </w:r>
    </w:p>
    <w:p w14:paraId="311B517A" w14:textId="77777777" w:rsidR="00CF5B70" w:rsidRPr="007C5469" w:rsidRDefault="00CF5B70" w:rsidP="00CF5B70">
      <w:pPr>
        <w:rPr>
          <w:rFonts w:ascii="Arial" w:hAnsi="Arial" w:cs="Arial"/>
          <w:szCs w:val="16"/>
        </w:rPr>
      </w:pPr>
      <w:r w:rsidRPr="007C5469">
        <w:rPr>
          <w:rFonts w:ascii="Arial" w:hAnsi="Arial" w:cs="Arial"/>
          <w:szCs w:val="16"/>
        </w:rPr>
        <w:t>1.</w:t>
      </w:r>
      <w:r w:rsidRPr="007C5469">
        <w:rPr>
          <w:rFonts w:ascii="Arial" w:hAnsi="Arial" w:cs="Arial"/>
          <w:szCs w:val="16"/>
        </w:rPr>
        <w:tab/>
        <w:t>kein unerlaubter Zugriff auf die für ihre Telemedienangebote genutzten technischen Einrichtungen möglich ist und</w:t>
      </w:r>
    </w:p>
    <w:p w14:paraId="00119276" w14:textId="77777777" w:rsidR="00CF5B70" w:rsidRPr="007C5469" w:rsidRDefault="00CF5B70" w:rsidP="00CF5B70">
      <w:pPr>
        <w:rPr>
          <w:rFonts w:ascii="Arial" w:hAnsi="Arial" w:cs="Arial"/>
          <w:szCs w:val="16"/>
        </w:rPr>
      </w:pPr>
      <w:r w:rsidRPr="007C5469">
        <w:rPr>
          <w:rFonts w:ascii="Arial" w:hAnsi="Arial" w:cs="Arial"/>
          <w:szCs w:val="16"/>
        </w:rPr>
        <w:t>2.</w:t>
      </w:r>
      <w:r w:rsidRPr="007C5469">
        <w:rPr>
          <w:rFonts w:ascii="Arial" w:hAnsi="Arial" w:cs="Arial"/>
          <w:szCs w:val="16"/>
        </w:rPr>
        <w:tab/>
        <w:t>diese</w:t>
      </w:r>
    </w:p>
    <w:p w14:paraId="3D2C63E0" w14:textId="77777777" w:rsidR="00CF5B70" w:rsidRPr="007C5469" w:rsidRDefault="00CF5B70" w:rsidP="00CF5B70">
      <w:pPr>
        <w:rPr>
          <w:rFonts w:ascii="Arial" w:hAnsi="Arial" w:cs="Arial"/>
          <w:szCs w:val="16"/>
        </w:rPr>
      </w:pPr>
      <w:r w:rsidRPr="007C5469">
        <w:rPr>
          <w:rFonts w:ascii="Arial" w:hAnsi="Arial" w:cs="Arial"/>
          <w:szCs w:val="16"/>
        </w:rPr>
        <w:t>a)</w:t>
      </w:r>
      <w:r w:rsidRPr="007C5469">
        <w:rPr>
          <w:rFonts w:ascii="Arial" w:hAnsi="Arial" w:cs="Arial"/>
          <w:szCs w:val="16"/>
        </w:rPr>
        <w:tab/>
        <w:t>gegen Verletzungen des Schutzes personenbezogener Daten und</w:t>
      </w:r>
    </w:p>
    <w:p w14:paraId="6B006C41" w14:textId="77777777" w:rsidR="00CF5B70" w:rsidRPr="007C5469" w:rsidRDefault="00CF5B70" w:rsidP="00CF5B70">
      <w:pPr>
        <w:rPr>
          <w:rFonts w:ascii="Arial" w:hAnsi="Arial" w:cs="Arial"/>
          <w:szCs w:val="16"/>
        </w:rPr>
      </w:pPr>
      <w:r w:rsidRPr="007C5469">
        <w:rPr>
          <w:rFonts w:ascii="Arial" w:hAnsi="Arial" w:cs="Arial"/>
          <w:szCs w:val="16"/>
        </w:rPr>
        <w:t>b)</w:t>
      </w:r>
      <w:r w:rsidRPr="007C5469">
        <w:rPr>
          <w:rFonts w:ascii="Arial" w:hAnsi="Arial" w:cs="Arial"/>
          <w:szCs w:val="16"/>
        </w:rPr>
        <w:tab/>
        <w:t>gegen Störungen, auch soweit sie durch äußere Angriffe bedingt sind,</w:t>
      </w:r>
    </w:p>
    <w:p w14:paraId="0A45E5F7" w14:textId="77777777" w:rsidR="00CF5B70" w:rsidRPr="007C5469" w:rsidRDefault="00CF5B70" w:rsidP="00CF5B70">
      <w:pPr>
        <w:rPr>
          <w:rFonts w:ascii="Arial" w:hAnsi="Arial" w:cs="Arial"/>
          <w:szCs w:val="16"/>
        </w:rPr>
      </w:pPr>
      <w:r w:rsidRPr="007C5469">
        <w:rPr>
          <w:rFonts w:ascii="Arial" w:hAnsi="Arial" w:cs="Arial"/>
          <w:szCs w:val="16"/>
        </w:rPr>
        <w:t>gesichert sind.</w:t>
      </w:r>
    </w:p>
    <w:p w14:paraId="3693DB05" w14:textId="4830BCFE" w:rsidR="00CF5B70" w:rsidRPr="007C5469" w:rsidRDefault="00CF5B70" w:rsidP="00CF5B70">
      <w:pPr>
        <w:rPr>
          <w:rFonts w:ascii="Arial" w:hAnsi="Arial" w:cs="Arial"/>
          <w:szCs w:val="16"/>
        </w:rPr>
      </w:pPr>
      <w:r w:rsidRPr="007C5469">
        <w:rPr>
          <w:rFonts w:ascii="Arial" w:hAnsi="Arial" w:cs="Arial"/>
          <w:szCs w:val="16"/>
        </w:rPr>
        <w:t>Vorkehrungen nach Satz 1 müssen den Stand der Technik berücksichtigen. Eine Maßnahme nach Satz 1 ist insbesondere die Anwendung eines als sicher anerkannten Verschlüsselungsverfahrens.</w:t>
      </w:r>
    </w:p>
    <w:p w14:paraId="7DF8F8B6" w14:textId="43244377" w:rsidR="00891826" w:rsidRPr="007C5469" w:rsidRDefault="00CF5B70" w:rsidP="00CF5B70">
      <w:pPr>
        <w:rPr>
          <w:rFonts w:ascii="Arial" w:hAnsi="Arial" w:cs="Arial"/>
          <w:sz w:val="32"/>
        </w:rPr>
      </w:pPr>
      <w:r w:rsidRPr="007C5469">
        <w:rPr>
          <w:rFonts w:ascii="Arial" w:hAnsi="Arial" w:cs="Arial"/>
          <w:szCs w:val="16"/>
        </w:rPr>
        <w:t>(8) Der Diensteanbieter hat dem Nutzer nach Maßgabe von § 34 des Bundesdatenschutzgesetzes auf Verlangen Auskunft über die zu seiner Person oder zu seinem Pseudonym gespeicherten Daten zu erteilen. Die Auskunft kann auf Verlangen des Nutzers auch elektronisch erteilt werden.</w:t>
      </w:r>
    </w:p>
    <w:sectPr w:rsidR="00891826" w:rsidRPr="007C546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22B27" w14:textId="77777777" w:rsidR="0034562A" w:rsidRDefault="0034562A" w:rsidP="0034562A">
      <w:pPr>
        <w:spacing w:after="0" w:line="240" w:lineRule="auto"/>
      </w:pPr>
      <w:r>
        <w:separator/>
      </w:r>
    </w:p>
  </w:endnote>
  <w:endnote w:type="continuationSeparator" w:id="0">
    <w:p w14:paraId="3E4E507E" w14:textId="77777777" w:rsidR="0034562A" w:rsidRDefault="0034562A" w:rsidP="0034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3B69F" w14:textId="77777777" w:rsidR="0034562A" w:rsidRPr="0034562A" w:rsidRDefault="0034562A" w:rsidP="0034562A">
    <w:pPr>
      <w:pStyle w:val="LANStandard"/>
      <w:pBdr>
        <w:bottom w:val="single" w:sz="6" w:space="1" w:color="auto"/>
      </w:pBdr>
      <w:tabs>
        <w:tab w:val="bar" w:pos="4536"/>
        <w:tab w:val="right" w:pos="14884"/>
      </w:tabs>
      <w:spacing w:line="260" w:lineRule="exact"/>
      <w:ind w:left="0"/>
      <w:rPr>
        <w:rFonts w:ascii="Arial" w:hAnsi="Arial" w:cs="Arial"/>
        <w:sz w:val="18"/>
      </w:rPr>
    </w:pPr>
    <w:r w:rsidRPr="0034562A">
      <w:rPr>
        <w:rFonts w:ascii="Arial" w:hAnsi="Arial" w:cs="Arial"/>
        <w:sz w:val="18"/>
      </w:rPr>
      <w:t>©</w:t>
    </w:r>
    <w:proofErr w:type="spellStart"/>
    <w:r w:rsidRPr="0034562A">
      <w:rPr>
        <w:rFonts w:ascii="Arial" w:hAnsi="Arial" w:cs="Arial"/>
        <w:sz w:val="18"/>
      </w:rPr>
      <w:t>Landes</w:t>
    </w:r>
    <w:r w:rsidRPr="0034562A">
      <w:rPr>
        <w:rFonts w:ascii="Arial" w:hAnsi="Arial" w:cs="Arial"/>
        <w:b/>
        <w:sz w:val="18"/>
      </w:rPr>
      <w:t>Sport</w:t>
    </w:r>
    <w:r w:rsidRPr="0034562A">
      <w:rPr>
        <w:rFonts w:ascii="Arial" w:hAnsi="Arial" w:cs="Arial"/>
        <w:sz w:val="18"/>
      </w:rPr>
      <w:t>Bund</w:t>
    </w:r>
    <w:proofErr w:type="spellEnd"/>
    <w:r w:rsidRPr="0034562A">
      <w:rPr>
        <w:rFonts w:ascii="Arial" w:hAnsi="Arial" w:cs="Arial"/>
        <w:sz w:val="18"/>
      </w:rPr>
      <w:t xml:space="preserve"> Niedersachsen e.V.</w:t>
    </w:r>
  </w:p>
  <w:p w14:paraId="33B58584" w14:textId="7A9A8183" w:rsidR="0034562A" w:rsidRPr="0034562A" w:rsidRDefault="0034562A" w:rsidP="0034562A">
    <w:pPr>
      <w:pStyle w:val="Fuzeile"/>
      <w:rPr>
        <w:rFonts w:ascii="Arial" w:hAnsi="Arial" w:cs="Arial"/>
      </w:rPr>
    </w:pPr>
    <w:r w:rsidRPr="0034562A">
      <w:rPr>
        <w:rFonts w:ascii="Arial" w:hAnsi="Arial" w:cs="Arial"/>
        <w:sz w:val="18"/>
      </w:rPr>
      <w:t>Baustein 6:</w:t>
    </w:r>
    <w:r w:rsidRPr="0034562A">
      <w:rPr>
        <w:rFonts w:ascii="Arial" w:hAnsi="Arial" w:cs="Arial"/>
        <w:b/>
        <w:sz w:val="18"/>
      </w:rPr>
      <w:t xml:space="preserve"> Datenschutz im Verein</w:t>
    </w:r>
    <w:r w:rsidRPr="0034562A">
      <w:rPr>
        <w:rFonts w:ascii="Arial" w:hAnsi="Arial" w:cs="Arial"/>
      </w:rPr>
      <w:tab/>
    </w:r>
    <w:r w:rsidRPr="0034562A">
      <w:rPr>
        <w:rFonts w:ascii="Arial" w:hAnsi="Arial" w:cs="Arial"/>
      </w:rPr>
      <w:tab/>
    </w:r>
    <w:r w:rsidRPr="0034562A">
      <w:rPr>
        <w:rFonts w:ascii="Arial" w:hAnsi="Arial" w:cs="Arial"/>
        <w:sz w:val="18"/>
      </w:rPr>
      <w:t>April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7771A" w14:textId="77777777" w:rsidR="0034562A" w:rsidRDefault="0034562A" w:rsidP="0034562A">
      <w:pPr>
        <w:spacing w:after="0" w:line="240" w:lineRule="auto"/>
      </w:pPr>
      <w:r>
        <w:separator/>
      </w:r>
    </w:p>
  </w:footnote>
  <w:footnote w:type="continuationSeparator" w:id="0">
    <w:p w14:paraId="52592076" w14:textId="77777777" w:rsidR="0034562A" w:rsidRDefault="0034562A" w:rsidP="00345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B729" w14:textId="77777777" w:rsidR="0034562A" w:rsidRDefault="0034562A" w:rsidP="0034562A">
    <w:pPr>
      <w:pStyle w:val="LANStandard"/>
      <w:pBdr>
        <w:bottom w:val="single" w:sz="6" w:space="1" w:color="auto"/>
      </w:pBdr>
      <w:tabs>
        <w:tab w:val="bar" w:pos="4820"/>
        <w:tab w:val="right" w:pos="14601"/>
      </w:tabs>
      <w:ind w:left="0"/>
      <w:rPr>
        <w:rFonts w:ascii="Arial" w:hAnsi="Arial"/>
        <w:sz w:val="18"/>
      </w:rPr>
    </w:pPr>
    <w:r>
      <w:rPr>
        <w:rFonts w:ascii="Arial" w:hAnsi="Arial"/>
        <w:sz w:val="18"/>
      </w:rPr>
      <w:t xml:space="preserve">Qualifix-Themenfeld: </w:t>
    </w:r>
    <w:r>
      <w:rPr>
        <w:rFonts w:ascii="Arial" w:hAnsi="Arial"/>
        <w:b/>
        <w:sz w:val="18"/>
      </w:rPr>
      <w:t>Recht</w:t>
    </w:r>
    <w:r>
      <w:rPr>
        <w:rFonts w:ascii="Arial" w:hAnsi="Arial"/>
        <w:sz w:val="18"/>
      </w:rPr>
      <w:tab/>
    </w:r>
  </w:p>
  <w:p w14:paraId="521FDA6C" w14:textId="57B18962" w:rsidR="0034562A" w:rsidRDefault="0034562A" w:rsidP="0034562A">
    <w:pPr>
      <w:pStyle w:val="LANStandard"/>
      <w:tabs>
        <w:tab w:val="right" w:pos="14601"/>
      </w:tabs>
      <w:ind w:left="0"/>
      <w:jc w:val="right"/>
    </w:pPr>
    <w:r>
      <w:rPr>
        <w:rFonts w:ascii="Arial" w:hAnsi="Arial" w:cs="Arial"/>
        <w:b/>
        <w:sz w:val="18"/>
        <w:szCs w:val="18"/>
      </w:rPr>
      <w:t>6</w:t>
    </w:r>
    <w:r>
      <w:rPr>
        <w:rFonts w:ascii="Webdings" w:hAnsi="Webdings"/>
        <w:sz w:val="28"/>
      </w:rPr>
      <w:t></w:t>
    </w:r>
    <w:r>
      <w:rPr>
        <w:rFonts w:ascii="Arial" w:hAnsi="Arial"/>
        <w:b/>
        <w:sz w:val="18"/>
      </w:rPr>
      <w:t>Lehrgangsmaterialien für Teilnehmende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E42A2"/>
    <w:multiLevelType w:val="hybridMultilevel"/>
    <w:tmpl w:val="FE905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393e3a31-6b35-45dd-9bb4-22bd82bde230}"/>
  </w:docVars>
  <w:rsids>
    <w:rsidRoot w:val="009B271A"/>
    <w:rsid w:val="00160178"/>
    <w:rsid w:val="001B439F"/>
    <w:rsid w:val="0034562A"/>
    <w:rsid w:val="0064259A"/>
    <w:rsid w:val="007C5469"/>
    <w:rsid w:val="00891826"/>
    <w:rsid w:val="009B271A"/>
    <w:rsid w:val="00AA702E"/>
    <w:rsid w:val="00AC3604"/>
    <w:rsid w:val="00B96FE6"/>
    <w:rsid w:val="00CF5B70"/>
    <w:rsid w:val="00D175AE"/>
    <w:rsid w:val="00E535F7"/>
    <w:rsid w:val="00F33A56"/>
    <w:rsid w:val="00F92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A7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AA702E"/>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7C5469"/>
    <w:pPr>
      <w:ind w:left="720"/>
      <w:contextualSpacing/>
    </w:pPr>
  </w:style>
  <w:style w:type="paragraph" w:styleId="Kopfzeile">
    <w:name w:val="header"/>
    <w:basedOn w:val="Standard"/>
    <w:link w:val="KopfzeileZchn"/>
    <w:uiPriority w:val="99"/>
    <w:unhideWhenUsed/>
    <w:rsid w:val="003456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562A"/>
  </w:style>
  <w:style w:type="paragraph" w:styleId="Fuzeile">
    <w:name w:val="footer"/>
    <w:basedOn w:val="Standard"/>
    <w:link w:val="FuzeileZchn"/>
    <w:uiPriority w:val="99"/>
    <w:unhideWhenUsed/>
    <w:rsid w:val="003456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562A"/>
  </w:style>
  <w:style w:type="paragraph" w:customStyle="1" w:styleId="LANStandard">
    <w:name w:val="LAN Standard"/>
    <w:basedOn w:val="Standard"/>
    <w:rsid w:val="0034562A"/>
    <w:pPr>
      <w:spacing w:after="0" w:line="240" w:lineRule="auto"/>
      <w:ind w:left="851"/>
    </w:pPr>
    <w:rPr>
      <w:rFonts w:ascii="Times New Roman" w:eastAsia="Times New Roman" w:hAnsi="Times New Roman"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A7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AA702E"/>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7C5469"/>
    <w:pPr>
      <w:ind w:left="720"/>
      <w:contextualSpacing/>
    </w:pPr>
  </w:style>
  <w:style w:type="paragraph" w:styleId="Kopfzeile">
    <w:name w:val="header"/>
    <w:basedOn w:val="Standard"/>
    <w:link w:val="KopfzeileZchn"/>
    <w:uiPriority w:val="99"/>
    <w:unhideWhenUsed/>
    <w:rsid w:val="003456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562A"/>
  </w:style>
  <w:style w:type="paragraph" w:styleId="Fuzeile">
    <w:name w:val="footer"/>
    <w:basedOn w:val="Standard"/>
    <w:link w:val="FuzeileZchn"/>
    <w:uiPriority w:val="99"/>
    <w:unhideWhenUsed/>
    <w:rsid w:val="003456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562A"/>
  </w:style>
  <w:style w:type="paragraph" w:customStyle="1" w:styleId="LANStandard">
    <w:name w:val="LAN Standard"/>
    <w:basedOn w:val="Standard"/>
    <w:rsid w:val="0034562A"/>
    <w:pPr>
      <w:spacing w:after="0" w:line="240" w:lineRule="auto"/>
      <w:ind w:left="851"/>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154488">
      <w:bodyDiv w:val="1"/>
      <w:marLeft w:val="0"/>
      <w:marRight w:val="0"/>
      <w:marTop w:val="0"/>
      <w:marBottom w:val="0"/>
      <w:divBdr>
        <w:top w:val="none" w:sz="0" w:space="0" w:color="auto"/>
        <w:left w:val="none" w:sz="0" w:space="0" w:color="auto"/>
        <w:bottom w:val="none" w:sz="0" w:space="0" w:color="auto"/>
        <w:right w:val="none" w:sz="0" w:space="0" w:color="auto"/>
      </w:divBdr>
    </w:div>
    <w:div w:id="1667899908">
      <w:bodyDiv w:val="1"/>
      <w:marLeft w:val="0"/>
      <w:marRight w:val="0"/>
      <w:marTop w:val="0"/>
      <w:marBottom w:val="0"/>
      <w:divBdr>
        <w:top w:val="none" w:sz="0" w:space="0" w:color="auto"/>
        <w:left w:val="none" w:sz="0" w:space="0" w:color="auto"/>
        <w:bottom w:val="none" w:sz="0" w:space="0" w:color="auto"/>
        <w:right w:val="none" w:sz="0" w:space="0" w:color="auto"/>
      </w:divBdr>
      <w:divsChild>
        <w:div w:id="1111321040">
          <w:marLeft w:val="0"/>
          <w:marRight w:val="0"/>
          <w:marTop w:val="0"/>
          <w:marBottom w:val="0"/>
          <w:divBdr>
            <w:top w:val="none" w:sz="0" w:space="0" w:color="auto"/>
            <w:left w:val="none" w:sz="0" w:space="0" w:color="auto"/>
            <w:bottom w:val="none" w:sz="0" w:space="0" w:color="auto"/>
            <w:right w:val="none" w:sz="0" w:space="0" w:color="auto"/>
          </w:divBdr>
          <w:divsChild>
            <w:div w:id="2010400631">
              <w:marLeft w:val="0"/>
              <w:marRight w:val="0"/>
              <w:marTop w:val="0"/>
              <w:marBottom w:val="0"/>
              <w:divBdr>
                <w:top w:val="none" w:sz="0" w:space="0" w:color="auto"/>
                <w:left w:val="none" w:sz="0" w:space="0" w:color="auto"/>
                <w:bottom w:val="none" w:sz="0" w:space="0" w:color="auto"/>
                <w:right w:val="none" w:sz="0" w:space="0" w:color="auto"/>
              </w:divBdr>
            </w:div>
            <w:div w:id="912813395">
              <w:marLeft w:val="0"/>
              <w:marRight w:val="0"/>
              <w:marTop w:val="0"/>
              <w:marBottom w:val="0"/>
              <w:divBdr>
                <w:top w:val="none" w:sz="0" w:space="0" w:color="auto"/>
                <w:left w:val="none" w:sz="0" w:space="0" w:color="auto"/>
                <w:bottom w:val="none" w:sz="0" w:space="0" w:color="auto"/>
                <w:right w:val="none" w:sz="0" w:space="0" w:color="auto"/>
              </w:divBdr>
            </w:div>
          </w:divsChild>
        </w:div>
        <w:div w:id="1874463751">
          <w:marLeft w:val="0"/>
          <w:marRight w:val="0"/>
          <w:marTop w:val="0"/>
          <w:marBottom w:val="0"/>
          <w:divBdr>
            <w:top w:val="none" w:sz="0" w:space="0" w:color="auto"/>
            <w:left w:val="none" w:sz="0" w:space="0" w:color="auto"/>
            <w:bottom w:val="none" w:sz="0" w:space="0" w:color="auto"/>
            <w:right w:val="none" w:sz="0" w:space="0" w:color="auto"/>
          </w:divBdr>
          <w:divsChild>
            <w:div w:id="21261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Goergens</dc:creator>
  <cp:lastModifiedBy>Administrator</cp:lastModifiedBy>
  <cp:revision>6</cp:revision>
  <dcterms:created xsi:type="dcterms:W3CDTF">2018-05-03T08:32:00Z</dcterms:created>
  <dcterms:modified xsi:type="dcterms:W3CDTF">2018-05-04T05:31:00Z</dcterms:modified>
</cp:coreProperties>
</file>